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rFonts w:ascii="Calibri" w:cs="Calibri" w:eastAsia="Calibri" w:hAnsi="Calibri"/>
          <w:b/>
          <w:bCs/>
          <w:color w:val="0F6E56"/>
          <w:sz w:val="40"/>
          <w:szCs w:val="40"/>
        </w:rPr>
        <w:t xml:space="preserve">Portugal e o Azeite</w:t>
      </w:r>
    </w:p>
    <w:p>
      <w:pPr>
        <w:spacing w:after="480"/>
        <w:jc w:val="center"/>
      </w:pPr>
      <w:r>
        <w:rPr>
          <w:rFonts w:ascii="Calibri" w:cs="Calibri" w:eastAsia="Calibri" w:hAnsi="Calibri"/>
          <w:i/>
          <w:iCs/>
          <w:color w:val="5F5E5A"/>
          <w:sz w:val="24"/>
          <w:szCs w:val="24"/>
        </w:rPr>
        <w:t xml:space="preserve">Produção, importação, exportação e consumo interno (2019–2023)</w:t>
      </w:r>
    </w:p>
    <w:p>
      <w:pPr>
        <w:pStyle w:val="Heading1"/>
        <w:spacing w:after="200" w:before="360"/>
      </w:pPr>
      <w:r>
        <w:t xml:space="preserve">Introdução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Portugal ocupa hoje uma posição de relevo no panorama oleícola mundial. Quinto maior produtor de azeite do planeta, o país consolidou nas últimas duas décadas um percurso de modernização do olival que o transformou de importador líquido em exportador estrutural, com saldos comerciais positivos consistentes e graus de auto-aprovisionamento que ultrapassam frequentemente os 200%.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Este artigo apresenta, de forma rigorosa, os dados oficiais relativos à produção, ao consumo interno, às exportações e ao saldo comercial do azeite português entre os anos de 2019 e 2023, com particular atenção à dinâmica do mercado brasileiro, principal destino do azeite embalado de origem portuguesa.</w:t>
      </w:r>
    </w:p>
    <w:p>
      <w:pPr>
        <w:pStyle w:val="Heading1"/>
        <w:spacing w:after="200" w:before="360"/>
      </w:pPr>
      <w:r>
        <w:t xml:space="preserve">Nota metodológica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Antes de apresentar os números, convém esclarecer três elementos essenciais para a sua correta interpretação: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Ano civil versus campanha oleícola: o INE (Instituto Nacional de Estatística) e o COI (Conselho Oleícola Internacional) reportam a produção e o consumo por campanha — uma campanha começa em outubro e termina em setembro do ano seguinte. As estatísticas de comércio externo (importação e exportação) seguem o ano civil. Misturar as duas referências temporais é fonte frequente de erro.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Hectolitros versus toneladas: o INE publica a produção em hectolitros, enquanto a Casa do Azeite e o COI utilizam toneladas. A conversão oficial usa a densidade do azeite, com 1 hectolitro a corresponder aproximadamente a 0,916 toneladas.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Perímetro do produto: algumas estatísticas agregam azeite virgem, azeite refinado e óleo de bagaço de azeitona; outras consideram apenas azeite stricto sensu. Esta diferença explica discrepâncias entre fontes oficiais que, à primeira vista, parecem contraditórias.</w:t>
      </w:r>
    </w:p>
    <w:p>
      <w:pPr>
        <w:spacing w:after="120" w:before="0" w:line="320"/>
        <w:jc w:val="both"/>
      </w:pPr>
      <w:r>
        <w:rPr>
          <w:i/>
          <w:iCs/>
          <w:sz w:val="22"/>
          <w:szCs w:val="22"/>
        </w:rPr>
        <w:t xml:space="preserve">Os dados aqui apresentados privilegiam, para coerência metodológica, as séries do COI compiladas pela Casa do Azeite — Associação do Azeite de Portugal, com verificação cruzada nas Estatísticas Agrícolas do INE.</w:t>
      </w:r>
    </w:p>
    <w:p>
      <w:pPr>
        <w:pStyle w:val="Heading1"/>
        <w:spacing w:after="200" w:before="360"/>
      </w:pPr>
      <w:r>
        <w:t xml:space="preserve">1. Produção nacional de azeite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 produção portuguesa de azeite atravessou no período em análise duas campanhas excecionalmente positivas — a campanha 2021/22, que estabeleceu o recorde histórico nacional, e a campanha 2023/24, segunda mais produtiva de sempre — intercaladas por uma quebra severa em 2022/23 motivada pela seca extrema que assolou a Península Ibérica.</w:t>
      </w:r>
    </w:p>
    <w:tbl>
      <w:tblPr>
        <w:tblW w:type="dxa" w:w="9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400"/>
        <w:gridCol w:w="5000"/>
      </w:tblGrid>
      <w:tr>
        <w:trPr>
          <w:tblHeader/>
        </w:trP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Campanha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Produção (toneladas)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Observação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2018/19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100.000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Ano de contrassafra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2019/20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141.000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Ano de safra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2020/21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100.000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Ano de contrassafra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2021/22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206.000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Recorde histórico nacional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2022/23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126.000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Quebra por seca severa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2023/24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161.000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2.ª melhor de sempre</w:t>
            </w:r>
          </w:p>
        </w:tc>
      </w:tr>
    </w:tbl>
    <w:p>
      <w:pPr>
        <w:spacing w:after="120" w:before="0" w:line="320"/>
        <w:jc w:val="both"/>
      </w:pPr>
      <w:r>
        <w:rPr>
          <w:sz w:val="22"/>
          <w:szCs w:val="22"/>
        </w:rPr>
        <w:t xml:space="preserve"> 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 campanha 2021/22 atingiu cerca de 206 mil toneladas, valor sem precedentes desde que existem registos estatísticos sistemáticos em Portugal. Esta marca ficou a dever-se à conjugação de três fatores: a entrada em produção plena de novos olivais intensivos e super-intensivos (sobretudo no Alentejo), o aumento da produtividade média dos olivais tradicionais e condições climáticas favoráveis no ciclo vegetativo.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O Alentejo continua a ser a região oleícola dominante. Em 2023, a produção alentejana totalizou cerca de 1,47 milhões de hectolitros — aproximadamente 84% da produção nacional. O olival nacional somava nesse ano 374.334 hectares dedicados à produção de azeitonas para azeite, dos quais 201.422 hectares no Alentejo (54%), seguindo-se a região Norte com 80.284 hectares.</w:t>
      </w:r>
    </w:p>
    <w:p>
      <w:pPr>
        <w:pStyle w:val="Heading1"/>
        <w:spacing w:after="200" w:before="360"/>
      </w:pPr>
      <w:r>
        <w:t xml:space="preserve">2. Consumo interno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O consumo interno de azeite em Portugal oscilou de forma significativa no período em análise, refletindo dois choques distintos: o efeito da pandemia COVID-19 sobre os hábitos alimentares e, posteriormente, o impacto do choque de preços de 2022/23.</w:t>
      </w:r>
    </w:p>
    <w:tbl>
      <w:tblPr>
        <w:tblW w:type="dxa" w:w="9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400"/>
        <w:gridCol w:w="5000"/>
      </w:tblGrid>
      <w:tr>
        <w:trPr>
          <w:tblHeader/>
        </w:trP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Campanha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Consumo (toneladas)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Observação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2018/19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54.000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2019/20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72.000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Pico — efeito pandemia (cozinhar em casa)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2020/21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62.000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2021/22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59.000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2022/23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39.000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Quebra acentuada — choque de preços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2023/24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61.000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Recuperação parcial</w:t>
            </w:r>
          </w:p>
        </w:tc>
      </w:tr>
    </w:tbl>
    <w:p>
      <w:pPr>
        <w:spacing w:after="120" w:before="0" w:line="320"/>
        <w:jc w:val="both"/>
      </w:pPr>
      <w:r>
        <w:rPr>
          <w:sz w:val="22"/>
          <w:szCs w:val="22"/>
        </w:rPr>
        <w:t xml:space="preserve"> 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 campanha 2019/20 registou um pico atípico de consumo (72 mil toneladas), associado ao confinamento e ao aumento das refeições preparadas em casa durante a pandemia. Em sentido oposto, a campanha 2022/23 sofreu uma contração drástica para apenas 39 mil toneladas — uma quebra superior a 30% face ao ano anterior — em consequência direta da subida do preço do azeite.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O consumo per capita de azeite em Portugal situa-se atualmente perto dos 7 kg por habitante e por ano, valor que recuperou substancialmente face aos cerca de 3,3 kg do início da década de 1990. Este aumento reflete a redescoberta do azeite como alimento associado à dieta mediterrânica e a uma alimentação saudável.</w:t>
      </w:r>
    </w:p>
    <w:p>
      <w:pPr>
        <w:pStyle w:val="Heading2"/>
        <w:spacing w:after="160" w:before="280"/>
      </w:pPr>
      <w:r>
        <w:t xml:space="preserve">O choque de preços de 2022-2023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Em junho de 2023, segundo o índice do INE de preços de produtos agrícolas no produtor, o preço a granel do azeite pago ao produtor aumentou 62,5% face ao ano anterior. Em termos de preço médio anual, o INE registou em 2023 uma subida de 69,2%. Em janeiro de 2024, o preço médio na origem em Portugal atingiu 9,10 euros por quilograma, valor sem precedentes.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 causa primária deste fenómeno está em Espanha, primeiro produtor mundial. A campanha 2022/23 espanhola caiu 55% face à anterior, atingindo apenas 666 mil toneladas. Como Espanha responde por cerca de metade da produção mundial, a sua quebra arrastou os preços globais. Portugal, integrado na mesma bacia mediterrânica e nos mesmos mercados, seguiu inevitavelmente esta tendência.</w:t>
      </w:r>
    </w:p>
    <w:p>
      <w:pPr>
        <w:pStyle w:val="Heading1"/>
        <w:spacing w:after="200" w:before="360"/>
      </w:pPr>
      <w:r>
        <w:t xml:space="preserve">3. Exportações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Portugal é hoje, estruturalmente, um país exportador de azeite. O grau de auto-aprovisionamento — rácio entre produção e consumo — atingiu 198,6% em 2022 e ultrapassou os 264% em 2021, o valor mais elevado de toda a série estatística disponível. Este excedente sustenta um setor exportador robusto.</w:t>
      </w:r>
    </w:p>
    <w:tbl>
      <w:tblPr>
        <w:tblW w:type="dxa" w:w="9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400"/>
        <w:gridCol w:w="2400"/>
        <w:gridCol w:w="3000"/>
      </w:tblGrid>
      <w:tr>
        <w:trPr>
          <w:tblHeader/>
        </w:trP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Ano civil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Volume (toneladas)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Valor (milhões €)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Saldo balança comercial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2018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159.687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n/d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2019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175.884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≈ 700 (est.)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Positivo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2020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201.252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≈ 700 (est.)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Positivo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216.265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≈ 700-800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Positivo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240.357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930,9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+515 milhões €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176.999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≈ 1.000+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+405,3 (jan-nov)</w:t>
            </w:r>
          </w:p>
        </w:tc>
      </w:tr>
    </w:tbl>
    <w:p>
      <w:pPr>
        <w:spacing w:after="120" w:before="0" w:line="320"/>
        <w:jc w:val="both"/>
      </w:pPr>
      <w:r>
        <w:rPr>
          <w:i/>
          <w:iCs/>
          <w:sz w:val="22"/>
          <w:szCs w:val="22"/>
        </w:rPr>
        <w:t xml:space="preserve"> 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As exportações em volume cresceram de 159.687 toneladas em 2018 para 240.357 toneladas em 2022 — um aumento de mais de 50% em cinco anos. A queda para 176.999 toneladas em 2023 reflete a quebra de produção da campanha 2022/23 e o esgotamento dos stocks acumulados. Em valor, contudo, as exportações superaram pela primeira vez a barreira dos mil milhões de euros em 2023.</w:t>
      </w:r>
    </w:p>
    <w:p>
      <w:pPr>
        <w:pStyle w:val="Heading2"/>
        <w:spacing w:after="160" w:before="280"/>
      </w:pPr>
      <w:r>
        <w:t xml:space="preserve">Concentração geográfica das exportações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As exportações portuguesas de azeite caracterizam-se por uma concentração extrema em três mercados: Espanha, Brasil e Itália absorvem em conjunto mais de 90% do total exportado. Esta concentração é simultaneamente uma força e um risco estratégico do setor.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Em 2023, segundo dados do INE compilados pela Casa do Azeite, a distribuição em valor foi a seguinte: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Espanha — €377,6 milhões (essencialmente azeite a granel)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Brasil — €327,0 milhões (essencialmente azeite embalado de marca)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Itália — €78,9 milhões (predominantemente azeite a granel)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As exportações para Espanha e Itália são feitas, na sua quase totalidade, em granel — destinadas ao engarrafamento e reexportação por engarrafadoras desses países. Em 2021, das 230 mil toneladas exportadas por Portugal, mais de 150 mil toneladas (66%) saíram em granel, das quais 112 mil para Espanha (49% do total) e 40 mil para Itália (cerca de 17%).</w:t>
      </w:r>
    </w:p>
    <w:p>
      <w:pPr>
        <w:pStyle w:val="Heading1"/>
        <w:spacing w:after="200" w:before="360"/>
      </w:pPr>
      <w:r>
        <w:t xml:space="preserve">4. O mercado brasileiro: o destino estratégico do azeite embalado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O Brasil ocupa uma posição singular nas exportações portuguesas de azeite. É o segundo maior mercado de destino em valor, mas o primeiro mercado de exportação para azeite embalado de marca, com maior valor acrescentado. O azeite é, hoje, o produto português mais exportado para o mercado brasileiro.</w:t>
      </w:r>
    </w:p>
    <w:tbl>
      <w:tblPr>
        <w:tblW w:type="dxa" w:w="9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200"/>
        <w:gridCol w:w="2200"/>
        <w:gridCol w:w="3400"/>
      </w:tblGrid>
      <w:tr>
        <w:trPr>
          <w:tblHeader/>
        </w:trP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Ano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Volume estimado (ton)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Valor (milhões €)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Posição relativa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2021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≈ 58.000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n/d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≈ 25% do total exportado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2022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n/d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n/d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+6,5% jan-out vs 2021 (vol.)</w:t>
            </w:r>
          </w:p>
        </w:tc>
      </w:tr>
      <w:tr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2023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n/d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327,0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  <w:sz w:val="20"/>
                <w:szCs w:val="20"/>
              </w:rPr>
              <w:t xml:space="preserve">2.º maior destino em valor</w:t>
            </w:r>
          </w:p>
        </w:tc>
      </w:tr>
    </w:tbl>
    <w:p>
      <w:pPr>
        <w:spacing w:after="120" w:before="0" w:line="320"/>
        <w:jc w:val="both"/>
      </w:pPr>
      <w:r>
        <w:rPr>
          <w:sz w:val="22"/>
          <w:szCs w:val="22"/>
        </w:rPr>
        <w:t xml:space="preserve"> 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Em termos estruturais, o Brasil absorve aproximadamente 20% do valor total e 27% do volume das exportações portuguesas de azeite. Em 2021, esta participação traduziu-se em cerca de 58.000 toneladas — aproximadamente 25% das exportações totais portuguesas de azeite nesse ano.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Em valor, o crescimento do mercado brasileiro foi notável: em 2023, as exportações para o Brasil atingiram €327 milhões, número que representa quase um terço do valor global exportado nesse ano. Este desempenho reflete tanto o aumento de preços como a fidelidade do consumidor brasileiro às marcas portuguesas tradicionais.</w:t>
      </w:r>
    </w:p>
    <w:p>
      <w:pPr>
        <w:pStyle w:val="Heading2"/>
        <w:spacing w:after="160" w:before="280"/>
      </w:pPr>
      <w:r>
        <w:t xml:space="preserve">Por que Portugal e Brasil são parceiros naturais no azeite?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Existem três razões estruturais para o domínio das marcas portuguesas no mercado brasileiro: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Histórico cultural: o azeite faz parte da identidade culinária luso-brasileira desde a colonização. Marcas como Gallo, Andorinha e Oliveira da Serra construíram presença histórica no retalho brasileiro.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Brasil não produz azeite em escala comercial: apesar de iniciativas crescentes em regiões como o Rio Grande do Sul e Minas Gerais, a produção doméstica brasileira é pouco significativa, o que torna o país estruturalmente importador.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Vantagens regulatórias: o regime de preferências aduaneiras entre a UE e o Mercosul, ainda que não consolidado, e os acordos bilaterais existentes facilitam o fluxo do produto embalado.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O Brasil é o segundo maior importador mundial de azeite em volume (depois dos Estados Unidos), responsável por cerca de 7,9% das importações mundiais.</w:t>
      </w:r>
    </w:p>
    <w:p>
      <w:pPr>
        <w:pStyle w:val="Heading1"/>
        <w:spacing w:after="200" w:before="360"/>
      </w:pPr>
      <w:r>
        <w:t xml:space="preserve">5. Importações portuguesas de azeite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Apesar de ser exportador líquido, Portugal importa azeite em volumes significativos, sobretudo de Espanha. A explicação é dupla: por um lado, as engarrafadoras portuguesas (Sovena, Sogrape, Gallo) operam num mercado integrado ibérico e abastecem-se de azeite a granel onde o preço e a disponibilidade são mais favoráveis; por outro lado, parte do azeite importado é reexportado já embalado, como produto de maior valor acrescentado.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Os dados oficiais sobre importações em volume são menos divulgados publicamente do que os de exportação. O que se sabe com segurança a partir das fontes do INE e da Casa do Azeite: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O saldo da balança comercial do azeite foi de +€515 milhões em 2022 (ano completo) e +€405,3 milhões no acumulado de janeiro a novembro de 2023.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No mesmo período de 2023, as importações em valor cresceram 21,3% face ao ano homólogo de 2022, reflexo direto do aumento dos preços internacionais.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Em 2021 — ano de produção recorde — a Casa do Azeite confirmou que Portugal continuou a recorrer a importações "para satisfazer as suas necessidades totais, que incluem as exportações".</w:t>
      </w:r>
    </w:p>
    <w:p>
      <w:pPr>
        <w:spacing w:after="120" w:before="0" w:line="320"/>
        <w:jc w:val="both"/>
      </w:pPr>
      <w:r>
        <w:rPr>
          <w:i/>
          <w:iCs/>
          <w:sz w:val="22"/>
          <w:szCs w:val="22"/>
        </w:rPr>
        <w:t xml:space="preserve">Para a obtenção de séries anuais detalhadas de importação em toneladas e euros, recomenda-se consulta direta às bases primárias do INE (Comércio Internacional de Bens, códigos NC 1509 e 1510), do GPP (Gabinete de Planeamento, Políticas e Administração Geral, do Ministério da Agricultura) e do Eurostat-Comext.</w:t>
      </w:r>
    </w:p>
    <w:p>
      <w:pPr>
        <w:pStyle w:val="Heading1"/>
        <w:spacing w:after="200" w:before="360"/>
      </w:pPr>
      <w:r>
        <w:t xml:space="preserve">6. Síntese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Em síntese, o período 2019-2023 confirmou a trajetória de Portugal como potência oleícola moderna, com elevada produtividade, forte vocação exportadora e dependência crítica de poucos mercados. A tabela seguinte resume os principais indicadores:</w:t>
      </w:r>
    </w:p>
    <w:p>
      <w:pPr>
        <w:spacing w:after="120" w:before="0" w:line="320"/>
        <w:jc w:val="both"/>
      </w:pPr>
      <w:r>
        <w:rPr>
          <w:sz w:val="22"/>
          <w:szCs w:val="22"/>
        </w:rPr>
        <w:t xml:space="preserve"> </w:t>
      </w:r>
    </w:p>
    <w:tbl>
      <w:tblPr>
        <w:tblW w:type="dxa" w:w="99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500"/>
        <w:gridCol w:w="1500"/>
        <w:gridCol w:w="1500"/>
        <w:gridCol w:w="1500"/>
        <w:gridCol w:w="1500"/>
      </w:tblGrid>
      <w:tr>
        <w:trPr>
          <w:tblHeader/>
        </w:trP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Indicador (mil ton)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2019/20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2020/21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2021/22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2022/23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D9E75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2023/24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Produção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141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100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206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126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161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Consumo interno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72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62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59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39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61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sz w:val="20"/>
                <w:szCs w:val="20"/>
              </w:rPr>
              <w:t xml:space="preserve">Exportações (ano civil)*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176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201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216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240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5F0" w:color="auto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  <w:sz w:val="20"/>
                <w:szCs w:val="20"/>
              </w:rPr>
              <w:t xml:space="preserve">177</w:t>
            </w:r>
          </w:p>
        </w:tc>
      </w:tr>
    </w:tbl>
    <w:p>
      <w:pPr>
        <w:spacing w:after="120" w:before="0" w:line="320"/>
        <w:jc w:val="both"/>
      </w:pPr>
      <w:r>
        <w:rPr>
          <w:i/>
          <w:iCs/>
          <w:sz w:val="22"/>
          <w:szCs w:val="22"/>
        </w:rPr>
        <w:t xml:space="preserve"> </w:t>
      </w:r>
    </w:p>
    <w:p>
      <w:pPr>
        <w:spacing w:after="120" w:before="0" w:line="320"/>
        <w:jc w:val="both"/>
      </w:pPr>
      <w:r>
        <w:rPr>
          <w:i/>
          <w:iCs/>
          <w:sz w:val="18"/>
          <w:szCs w:val="18"/>
        </w:rPr>
        <w:t xml:space="preserve">* Exportações em ano civil; restantes valores por campanha oleícola.</w:t>
      </w:r>
    </w:p>
    <w:p>
      <w:pPr>
        <w:pStyle w:val="Heading1"/>
        <w:spacing w:after="200" w:before="360"/>
      </w:pPr>
      <w:r>
        <w:t xml:space="preserve">Fontes oficiais consultadas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INE — Instituto Nacional de Estatística — Estatísticas Agrícolas 2023 (julho de 2024); Boletim Mensal da Agricultura e Pescas (janeiro de 2024); Estatísticas do Comércio Internacional de Bens; Previsões Agrícolas.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COI — Conselho Oleícola Internacional, organismo intergovernamental sediado em Madrid.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Casa do Azeite — Associação do Azeite de Portugal, associação patronal de âmbito nacional, principal compiladora dos dados COI/INE para o setor.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FENAZEITES — Federação Nacional das Cooperativas de Olivicultores, via revista Espaço Rural n.º 158 (maio de 2024) publicada pela CONFAGRI.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Comissão Europeia — DG AGRI, dados de produção UE e stocks de final de campanha.</w:t>
      </w:r>
    </w:p>
    <w:p>
      <w:pPr>
        <w:pStyle w:val="ListParagraph"/>
        <w:numPr>
          <w:ilvl w:val="0"/>
          <w:numId w:val="2"/>
        </w:numPr>
        <w:spacing w:after="80" w:line="320"/>
      </w:pPr>
      <w:r>
        <w:rPr>
          <w:sz w:val="22"/>
          <w:szCs w:val="22"/>
        </w:rPr>
        <w:t xml:space="preserve">CEPAAL — Centro de Estudos e Promoção do Azeite do Alentejo.</w:t>
      </w:r>
    </w:p>
    <w:p>
      <w:pPr>
        <w:pBdr>
          <w:top w:val="single" w:color="1D9E75" w:sz="6" w:space="6"/>
        </w:pBdr>
        <w:spacing w:after="0" w:before="600"/>
        <w:jc w:val="center"/>
      </w:pPr>
      <w:r>
        <w:rPr>
          <w:b/>
          <w:bCs/>
          <w:color w:val="0F6E56"/>
          <w:sz w:val="22"/>
          <w:szCs w:val="22"/>
        </w:rPr>
        <w:t xml:space="preserve">Olivapedia — tudo sobre olivicultura</w:t>
      </w:r>
    </w:p>
    <w:p>
      <w:pPr>
        <w:spacing w:before="60"/>
        <w:jc w:val="center"/>
      </w:pPr>
      <w:r>
        <w:rPr>
          <w:i/>
          <w:iCs/>
          <w:color w:val="888780"/>
          <w:sz w:val="18"/>
          <w:szCs w:val="18"/>
        </w:rPr>
        <w:t xml:space="preserve">olivapedia.com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780"/>
        <w:sz w:val="18"/>
        <w:szCs w:val="18"/>
      </w:rPr>
      <w:t xml:space="preserve">Olivapedia.com  |  </w:t>
    </w:r>
    <w:r>
      <w:rPr>
        <w:color w:val="888780"/>
        <w:sz w:val="18"/>
        <w:szCs w:val="18"/>
      </w:rPr>
      <w:t xml:space="preserve">Página </w:t>
      <w:fldChar w:fldCharType="begin"/>
      <w:instrText xml:space="preserve">PAGE</w:instrText>
      <w:fldChar w:fldCharType="separate"/>
      <w:fldChar w:fldCharType="end"/>
    </w:r>
    <w:r>
      <w:rPr>
        <w:color w:val="888780"/>
        <w:sz w:val="18"/>
        <w:szCs w:val="18"/>
      </w:rPr>
      <w:t xml:space="preserve"> de </w:t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b/>
        <w:bCs/>
        <w:color w:val="0F6E56"/>
        <w:sz w:val="20"/>
        <w:szCs w:val="20"/>
      </w:rPr>
      <w:t xml:space="preserve">OLIVAPEDIA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next w:val="Normal"/>
    <w:qFormat/>
    <w:pPr>
      <w:spacing w:after="120" w:before="0"/>
      <w:jc w:val="center"/>
    </w:pPr>
    <w:rPr>
      <w:rFonts w:ascii="Calibri" w:cs="Calibri" w:eastAsia="Calibri" w:hAnsi="Calibri"/>
      <w:b/>
      <w:bCs/>
      <w:color w:val="0F6E56"/>
      <w:sz w:val="40"/>
      <w:szCs w:val="40"/>
    </w:rPr>
  </w:style>
  <w:style w:type="paragraph" w:styleId="Subtitle">
    <w:name w:val="Subtitle"/>
    <w:basedOn w:val="Normal"/>
    <w:next w:val="Normal"/>
    <w:qFormat/>
    <w:pPr>
      <w:spacing w:after="480"/>
      <w:jc w:val="center"/>
    </w:pPr>
    <w:rPr>
      <w:rFonts w:ascii="Calibri" w:cs="Calibri" w:eastAsia="Calibri" w:hAnsi="Calibri"/>
      <w:i/>
      <w:iCs/>
      <w:color w:val="5F5E5A"/>
      <w:sz w:val="24"/>
      <w:szCs w:val="24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Calibri" w:cs="Calibri" w:eastAsia="Calibri" w:hAnsi="Calibri"/>
      <w:b/>
      <w:bCs/>
      <w:color w:val="0F6E56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Calibri" w:cs="Calibri" w:eastAsia="Calibri" w:hAnsi="Calibri"/>
      <w:b/>
      <w:bCs/>
      <w:color w:val="1D9E75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20"/>
      <w:outlineLvl w:val="2"/>
    </w:pPr>
    <w:rPr>
      <w:rFonts w:ascii="Calibri" w:cs="Calibri" w:eastAsia="Calibri" w:hAnsi="Calibri"/>
      <w:b/>
      <w:bCs/>
      <w:color w:val="5F5E5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Portugal — Azeite: Produção, Importação, Exportação e Consumo (2019-2023)</dc:title>
  <dc:creator>Olivapedia</dc:creator>
  <cp:lastModifiedBy>Un-named</cp:lastModifiedBy>
  <cp:revision>1</cp:revision>
  <dcterms:created xsi:type="dcterms:W3CDTF">2026-05-07T16:46:15.121Z</dcterms:created>
  <dcterms:modified xsi:type="dcterms:W3CDTF">2026-05-07T16:46:15.121Z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